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25" w:rsidRDefault="00D83D51" w:rsidP="00D83D51">
      <w:pPr>
        <w:autoSpaceDE w:val="0"/>
        <w:ind w:firstLine="3828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FB0EAF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603328" w:rsidRDefault="00603328" w:rsidP="00D83D51">
      <w:pPr>
        <w:autoSpaceDE w:val="0"/>
        <w:ind w:firstLine="3828"/>
        <w:rPr>
          <w:rFonts w:ascii="Times New Roman" w:hAnsi="Times New Roman" w:cs="Times New Roman"/>
          <w:sz w:val="28"/>
          <w:szCs w:val="28"/>
          <w:lang w:val="ru-RU"/>
        </w:rPr>
      </w:pPr>
    </w:p>
    <w:p w:rsidR="009F4A25" w:rsidRDefault="00D83D51" w:rsidP="00D83D51">
      <w:pPr>
        <w:autoSpaceDE w:val="0"/>
        <w:ind w:firstLine="38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FB0EAF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603328" w:rsidRDefault="00603328" w:rsidP="00D83D51">
      <w:pPr>
        <w:autoSpaceDE w:val="0"/>
        <w:ind w:firstLine="3828"/>
        <w:rPr>
          <w:rFonts w:ascii="Times New Roman" w:hAnsi="Times New Roman" w:cs="Times New Roman"/>
          <w:sz w:val="28"/>
          <w:szCs w:val="28"/>
          <w:lang w:val="ru-RU"/>
        </w:rPr>
      </w:pPr>
    </w:p>
    <w:p w:rsidR="000D3ADB" w:rsidRDefault="000D3ADB" w:rsidP="00D83D51">
      <w:pPr>
        <w:autoSpaceDE w:val="0"/>
        <w:ind w:left="6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</w:t>
      </w:r>
    </w:p>
    <w:p w:rsidR="009F4A25" w:rsidRDefault="00FB0EAF" w:rsidP="00D83D51">
      <w:pPr>
        <w:autoSpaceDE w:val="0"/>
        <w:ind w:left="64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«АтомЭнергоСбыт» Тверь </w:t>
      </w:r>
    </w:p>
    <w:p w:rsidR="009F4A25" w:rsidRPr="00A763CF" w:rsidRDefault="00D83D51" w:rsidP="00D83D51">
      <w:pPr>
        <w:autoSpaceDE w:val="0"/>
        <w:ind w:firstLine="382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D3A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3ADB">
        <w:rPr>
          <w:rFonts w:ascii="Times New Roman" w:hAnsi="Times New Roman" w:cs="Times New Roman"/>
          <w:sz w:val="28"/>
          <w:szCs w:val="28"/>
          <w:lang w:val="ru-RU"/>
        </w:rPr>
        <w:t>от  12.07.2024 № 69-12.07-5-П</w:t>
      </w:r>
    </w:p>
    <w:p w:rsidR="009F4A25" w:rsidRDefault="009F4A25">
      <w:pPr>
        <w:pStyle w:val="Standard"/>
        <w:ind w:left="5954"/>
        <w:rPr>
          <w:lang w:val="ru-RU"/>
        </w:rPr>
      </w:pPr>
    </w:p>
    <w:p w:rsidR="009F4A25" w:rsidRDefault="009F4A25">
      <w:pPr>
        <w:pStyle w:val="Standard"/>
        <w:ind w:left="5954"/>
        <w:rPr>
          <w:lang w:val="ru-RU"/>
        </w:rPr>
      </w:pPr>
    </w:p>
    <w:p w:rsidR="009F4A25" w:rsidRPr="00A763CF" w:rsidRDefault="00FB0EAF">
      <w:pPr>
        <w:pStyle w:val="Standard"/>
        <w:jc w:val="center"/>
        <w:rPr>
          <w:lang w:val="ru-RU"/>
        </w:rPr>
      </w:pPr>
      <w:r>
        <w:rPr>
          <w:rStyle w:val="af4"/>
          <w:b/>
          <w:bCs/>
          <w:color w:val="342A06"/>
          <w:lang w:val="ru-RU"/>
        </w:rPr>
        <w:t>Положение о проведении стимулирующей рекламной акции                            «В отпуск с АтомЭнергоСбыт!»</w:t>
      </w:r>
    </w:p>
    <w:p w:rsidR="009F4A25" w:rsidRDefault="009F4A25">
      <w:pPr>
        <w:pStyle w:val="Standard"/>
        <w:jc w:val="center"/>
        <w:rPr>
          <w:lang w:val="ru-RU"/>
        </w:rPr>
      </w:pP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1. Наименование акции и условные обозначения: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1.1. Акция «В отпуск с АтомЭнергоСбыт!» проводится в рамках кампании по: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 популяризации цифровых сервисов АО «АтомЭнергоСбыт», стимулированию клиентов к использованию Мобильного приложения, а также к отказу от бумажной версии квитанции;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 стимулированию клиентов своевременно производить оплату потреблённой электроэнергии;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- наполнению базы данных физических лиц.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1.2. Организатором стимулирующей рекламной акции является Обособленное подразделение «АтомЭнергоСбыт» Тверь.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1.3. Акция не является лотереей, на неё не распространяются требования Федерального закона РФ от 11.11.2003 № 138-ФЗ «О лотереях». Направление уведомления об организации акции в уполномоченный государственный орган не требуется.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1.4. Условные обозначения: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Акция — розыгрыш, проводимый в рамках кампании по популяризации цифровых сервисов АО «АтомЭнергоСбыт», стимулированию клиентов </w:t>
      </w:r>
      <w:r>
        <w:rPr>
          <w:lang w:val="ru-RU"/>
        </w:rPr>
        <w:br/>
        <w:t>к использованию Мобильного приложения Общества, а также к отказу от бумажной версии квитанции, своевременной оплаты, наполнению базы данных.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Организатор — Обособленное подразделение «АтомЭнергоСбыт» Тверь (далее — организатор).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Условия проведения и участия в акции «В отпуск с АтомЭнергоСбыт!» - условия участия в акции.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2. Период проведения акции: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lastRenderedPageBreak/>
        <w:t>Акция проводится с 15.07.2024 по 31.08.2024.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3. Территория проведения акции:</w:t>
      </w:r>
    </w:p>
    <w:p w:rsidR="009F4A25" w:rsidRDefault="00FB0EAF">
      <w:pPr>
        <w:pStyle w:val="Standard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Акция проводится на территории Тверской области во всех центрах обслуживания </w:t>
      </w:r>
      <w:r w:rsidR="00A763CF">
        <w:rPr>
          <w:color w:val="000000"/>
          <w:lang w:val="ru-RU"/>
        </w:rPr>
        <w:t>Обособленного подразделения</w:t>
      </w:r>
      <w:r>
        <w:rPr>
          <w:color w:val="000000"/>
          <w:lang w:val="ru-RU"/>
        </w:rPr>
        <w:t>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4. Цели проведения акции: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4.1. Повышение платёжной дисциплины клиентов - физических лиц.</w:t>
      </w:r>
    </w:p>
    <w:p w:rsidR="009F4A25" w:rsidRPr="00A763CF" w:rsidRDefault="00FB0EAF">
      <w:pPr>
        <w:pStyle w:val="Standard"/>
        <w:ind w:firstLine="709"/>
        <w:jc w:val="both"/>
        <w:rPr>
          <w:lang w:val="ru-RU"/>
        </w:rPr>
      </w:pPr>
      <w:r>
        <w:rPr>
          <w:rStyle w:val="af4"/>
          <w:color w:val="342A06"/>
          <w:lang w:val="ru-RU"/>
        </w:rPr>
        <w:t xml:space="preserve">4.2. Повышение уровня осведомлённости клиентов - физических лиц </w:t>
      </w:r>
      <w:r>
        <w:rPr>
          <w:rStyle w:val="af4"/>
          <w:color w:val="342A06"/>
          <w:lang w:val="ru-RU"/>
        </w:rPr>
        <w:br/>
        <w:t>о цифровых сервисах АО «АтомЭнергоСбыт».</w:t>
      </w:r>
    </w:p>
    <w:p w:rsidR="009F4A25" w:rsidRPr="00B75AD9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4.3. Стимулирование клиентов к отказу от бумажной версии квитанции </w:t>
      </w:r>
      <w:r>
        <w:rPr>
          <w:lang w:val="ru-RU"/>
        </w:rPr>
        <w:br/>
        <w:t xml:space="preserve">и переходу на электронную </w:t>
      </w:r>
      <w:r w:rsidRPr="00B75AD9">
        <w:rPr>
          <w:lang w:val="ru-RU"/>
        </w:rPr>
        <w:t>(Интерактивный счёт).</w:t>
      </w:r>
    </w:p>
    <w:p w:rsidR="009F4A25" w:rsidRDefault="00FB0EAF">
      <w:pPr>
        <w:pStyle w:val="Standard"/>
        <w:ind w:firstLine="709"/>
        <w:rPr>
          <w:lang w:val="ru-RU"/>
        </w:rPr>
      </w:pPr>
      <w:r>
        <w:rPr>
          <w:lang w:val="ru-RU"/>
        </w:rPr>
        <w:t>4.4. Наполнение базы данных клиентов - физических лиц.</w:t>
      </w:r>
    </w:p>
    <w:p w:rsidR="009F4A25" w:rsidRDefault="00FB0EAF">
      <w:pPr>
        <w:pStyle w:val="Standard"/>
        <w:ind w:firstLine="709"/>
        <w:rPr>
          <w:lang w:val="ru-RU"/>
        </w:rPr>
      </w:pPr>
      <w:r>
        <w:rPr>
          <w:lang w:val="ru-RU"/>
        </w:rPr>
        <w:t>4.5. Повышение лояльности клиентов к АО «АтомЭнергоСбыт».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5. Условия участия в акции: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5.1. Участниками акции становятся совершеннолетние физические лица, проживающие на территории Тверской области, являющиеся гражданами Российской Федерации и потребителями коммунальной услуги </w:t>
      </w:r>
      <w:r>
        <w:rPr>
          <w:lang w:val="ru-RU"/>
        </w:rPr>
        <w:br/>
        <w:t xml:space="preserve">по электроснабжению, находящиеся на обслуживании в </w:t>
      </w:r>
      <w:r w:rsidR="00A763CF">
        <w:rPr>
          <w:lang w:val="ru-RU"/>
        </w:rPr>
        <w:t>Обособленном подразделении</w:t>
      </w:r>
      <w:r>
        <w:rPr>
          <w:lang w:val="ru-RU"/>
        </w:rPr>
        <w:t xml:space="preserve">, исключая потребителей, для которых </w:t>
      </w:r>
      <w:r w:rsidR="00B75AD9">
        <w:rPr>
          <w:lang w:val="ru-RU"/>
        </w:rPr>
        <w:t>Обособленное подразделение</w:t>
      </w:r>
      <w:r>
        <w:rPr>
          <w:lang w:val="ru-RU"/>
        </w:rPr>
        <w:t xml:space="preserve"> не производит начисление и выставление счетов на оплату электроэнергии.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5.2. В акции принимают участие только те лицевые счета, по которым произведена регистрация в Мобильном приложении Общества (наличие соответствующего признака в ПО СТЕК ФЛ).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5.3. Выполнение клиентом условий акции, перечисленных в п. 5.4</w:t>
      </w:r>
      <w:r w:rsidR="00CA6B17">
        <w:rPr>
          <w:lang w:val="ru-RU"/>
        </w:rPr>
        <w:t>.</w:t>
      </w:r>
      <w:r>
        <w:rPr>
          <w:lang w:val="ru-RU"/>
        </w:rPr>
        <w:t>, является фактическим согласием на участие в акции и не требует от клиента - физического лица подачи дополнительных заявок на участие.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5.4. Условия  участия в акции в период с 15.07.2024 по 31.08.2024: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5.4.1. Отсутствие задолженности</w:t>
      </w:r>
      <w:r w:rsidR="0027056A">
        <w:rPr>
          <w:lang w:val="ru-RU"/>
        </w:rPr>
        <w:t xml:space="preserve"> за потребленную электроэнергию по состоянию на 31.08.2024.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5.4.2. Переход на электронную квитанцию с отказом от бумажного варианта (наличие соответствующего признака в ПО СТЕК ФЛ).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5.4.3. Оплата квитанции за услугу по электроснабжению</w:t>
      </w:r>
      <w:r w:rsidR="00A763CF">
        <w:rPr>
          <w:lang w:val="ru-RU"/>
        </w:rPr>
        <w:t xml:space="preserve"> в </w:t>
      </w:r>
      <w:r>
        <w:rPr>
          <w:lang w:val="ru-RU"/>
        </w:rPr>
        <w:t xml:space="preserve">августе </w:t>
      </w:r>
      <w:r>
        <w:rPr>
          <w:lang w:val="ru-RU"/>
        </w:rPr>
        <w:br/>
        <w:t>2024 г. через Мобильное приложение Общества.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lastRenderedPageBreak/>
        <w:t>5.4.4. Передача показаний через Мобильное</w:t>
      </w:r>
      <w:r w:rsidR="00647A45">
        <w:rPr>
          <w:lang w:val="ru-RU"/>
        </w:rPr>
        <w:t xml:space="preserve"> приложение Общества в июле и (</w:t>
      </w:r>
      <w:r>
        <w:rPr>
          <w:lang w:val="ru-RU"/>
        </w:rPr>
        <w:t>или</w:t>
      </w:r>
      <w:r w:rsidR="00647A45">
        <w:rPr>
          <w:lang w:val="ru-RU"/>
        </w:rPr>
        <w:t>)</w:t>
      </w:r>
      <w:r>
        <w:rPr>
          <w:lang w:val="ru-RU"/>
        </w:rPr>
        <w:t xml:space="preserve"> августе 2024 г. При наличии интеллектуальной системы учёта электроснабжения (ИСУ) учитываются по</w:t>
      </w:r>
      <w:r w:rsidR="0027056A">
        <w:rPr>
          <w:lang w:val="ru-RU"/>
        </w:rPr>
        <w:t xml:space="preserve">казания, переданные ИСУ в июле </w:t>
      </w:r>
      <w:r w:rsidR="00647A45">
        <w:rPr>
          <w:lang w:val="ru-RU"/>
        </w:rPr>
        <w:t>и (или)</w:t>
      </w:r>
      <w:r w:rsidR="0027056A">
        <w:rPr>
          <w:lang w:val="ru-RU"/>
        </w:rPr>
        <w:t xml:space="preserve"> </w:t>
      </w:r>
      <w:r>
        <w:rPr>
          <w:lang w:val="ru-RU"/>
        </w:rPr>
        <w:t>августе 2024 г.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5.4.5. Наличие своей фотографии с Мобильным приложением Общества.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5.4.6. Факт направления заявки с фразой «Отпуск с АтомЭнергоСбыт» </w:t>
      </w:r>
      <w:r>
        <w:rPr>
          <w:lang w:val="ru-RU"/>
        </w:rPr>
        <w:br/>
        <w:t xml:space="preserve">и фотографией через </w:t>
      </w:r>
      <w:r w:rsidR="0000785A">
        <w:rPr>
          <w:lang w:val="ru-RU"/>
        </w:rPr>
        <w:t>вкладку «О</w:t>
      </w:r>
      <w:r w:rsidR="0027056A">
        <w:rPr>
          <w:lang w:val="ru-RU"/>
        </w:rPr>
        <w:t>бращение</w:t>
      </w:r>
      <w:r w:rsidR="0000785A">
        <w:rPr>
          <w:lang w:val="ru-RU"/>
        </w:rPr>
        <w:t>»</w:t>
      </w:r>
      <w:r w:rsidR="0027056A">
        <w:rPr>
          <w:lang w:val="ru-RU"/>
        </w:rPr>
        <w:t xml:space="preserve"> в </w:t>
      </w:r>
      <w:r>
        <w:rPr>
          <w:lang w:val="ru-RU"/>
        </w:rPr>
        <w:t>Мобильное приложение Общества с указанием ФИО участника, лицевого счёта и контактного номера мобильного телефона.</w:t>
      </w:r>
    </w:p>
    <w:p w:rsidR="009F4A25" w:rsidRPr="00A763CF" w:rsidRDefault="00FB0EAF">
      <w:pPr>
        <w:pStyle w:val="Standard"/>
        <w:ind w:firstLine="709"/>
        <w:jc w:val="both"/>
        <w:rPr>
          <w:lang w:val="ru-RU"/>
        </w:rPr>
      </w:pPr>
      <w:r>
        <w:rPr>
          <w:b/>
          <w:bCs/>
          <w:lang w:val="ru-RU"/>
        </w:rPr>
        <w:t>6.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Призовой фонд: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6.1. Фонд стимулирующей акции формируется за счёт средств организатора акции.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6.2. Призы используются исключительно с целью поощрения участников акции.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6.3. Перечень призов: </w:t>
      </w: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804"/>
        <w:gridCol w:w="2119"/>
      </w:tblGrid>
      <w:tr w:rsidR="009F4A2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приза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</w:tc>
      </w:tr>
      <w:tr w:rsidR="009F4A2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Рюкзак с логотипом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F4A2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Бутылка пластиковая с логотипом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A25" w:rsidRDefault="00FB0EAF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6.4. Один комплект приза предусматривает наличие рюкзака с логотипом и бутылки пластиковой с логотипом. Разыгрывается 5 комплектов призов.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7. Механика проведения акции: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7.1. Срок подведения итогов– не позднее </w:t>
      </w:r>
      <w:r w:rsidR="000A0835">
        <w:rPr>
          <w:lang w:val="ru-RU"/>
        </w:rPr>
        <w:t>15</w:t>
      </w:r>
      <w:r>
        <w:rPr>
          <w:lang w:val="ru-RU"/>
        </w:rPr>
        <w:t xml:space="preserve"> сен</w:t>
      </w:r>
      <w:r w:rsidR="00A47B2F">
        <w:rPr>
          <w:lang w:val="ru-RU"/>
        </w:rPr>
        <w:t>тября 2024 года.</w:t>
      </w:r>
    </w:p>
    <w:p w:rsidR="000A0835" w:rsidRDefault="000A0835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7.2. Срок выдачи призов по</w:t>
      </w:r>
      <w:r w:rsidR="00A47B2F">
        <w:rPr>
          <w:lang w:val="ru-RU"/>
        </w:rPr>
        <w:t xml:space="preserve">бедителям </w:t>
      </w:r>
      <w:r w:rsidR="001857A1">
        <w:rPr>
          <w:lang w:val="ru-RU"/>
        </w:rPr>
        <w:t>акции – до 15 октября 2024</w:t>
      </w:r>
      <w:r w:rsidR="00E07618">
        <w:rPr>
          <w:lang w:val="ru-RU"/>
        </w:rPr>
        <w:t xml:space="preserve"> </w:t>
      </w:r>
      <w:r w:rsidR="001857A1">
        <w:rPr>
          <w:lang w:val="ru-RU"/>
        </w:rPr>
        <w:t xml:space="preserve">года </w:t>
      </w:r>
      <w:r w:rsidR="00A47B2F">
        <w:rPr>
          <w:lang w:val="ru-RU"/>
        </w:rPr>
        <w:t>включительно.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7.2. В выборку участников розыгрыша призов попадают лицевые счета, </w:t>
      </w:r>
      <w:r>
        <w:rPr>
          <w:lang w:val="ru-RU"/>
        </w:rPr>
        <w:br/>
        <w:t>на которых выполнены все условия, перечисленные в пп. 5.4.1 — 5.4.6.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7.3. Отбор призёров производится методом генерации случайных чисел. Количество призёров ограничено. Организатор акции оставляет за собой право внести изменения в  количество призёров.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7.4. Количество призов ограничено. Организатор акции оставляет за собой право внести изменения в призовой фонд.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8. Порядок и способ информирования потребителей о проведении акции и получении призов:</w:t>
      </w:r>
    </w:p>
    <w:p w:rsidR="009F4A25" w:rsidRPr="00A763CF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8.1. Анонсирование акции, а также иная информация о ходе проведения акции, размещается (сообщается) организатором в </w:t>
      </w:r>
      <w:r>
        <w:rPr>
          <w:lang w:val="ru-RU"/>
        </w:rPr>
        <w:lastRenderedPageBreak/>
        <w:t xml:space="preserve">средствах массовой информации (СМИ), на сайте </w:t>
      </w:r>
      <w:r>
        <w:t>atomsbt</w:t>
      </w:r>
      <w:r>
        <w:rPr>
          <w:lang w:val="ru-RU"/>
        </w:rPr>
        <w:t>.</w:t>
      </w:r>
      <w:r>
        <w:t>ru</w:t>
      </w:r>
      <w:r>
        <w:rPr>
          <w:lang w:val="ru-RU"/>
        </w:rPr>
        <w:t xml:space="preserve">, в Личном кабинете в разделе «акции», </w:t>
      </w:r>
      <w:r>
        <w:rPr>
          <w:lang w:val="ru-RU"/>
        </w:rPr>
        <w:br/>
        <w:t xml:space="preserve">в платёжных документах за коммунальные услуги, выпускаемых </w:t>
      </w:r>
      <w:r w:rsidR="009F74C1">
        <w:rPr>
          <w:lang w:val="ru-RU"/>
        </w:rPr>
        <w:t xml:space="preserve">Обособленным подразделением </w:t>
      </w:r>
      <w:r>
        <w:rPr>
          <w:lang w:val="ru-RU"/>
        </w:rPr>
        <w:t xml:space="preserve">«АтомЭнергоСбыт» </w:t>
      </w:r>
      <w:r w:rsidR="009F74C1">
        <w:rPr>
          <w:lang w:val="ru-RU"/>
        </w:rPr>
        <w:t>Тверь</w:t>
      </w:r>
      <w:r>
        <w:rPr>
          <w:lang w:val="ru-RU"/>
        </w:rPr>
        <w:t xml:space="preserve">, в также через объявления в центрах обслуживания </w:t>
      </w:r>
      <w:r w:rsidR="000A0835">
        <w:rPr>
          <w:lang w:val="ru-RU"/>
        </w:rPr>
        <w:t>Обособленного подразделение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8.2. Информирование получателей главных призов, определённых </w:t>
      </w:r>
      <w:r>
        <w:rPr>
          <w:lang w:val="ru-RU"/>
        </w:rPr>
        <w:br/>
        <w:t xml:space="preserve">по результатам розыгрыша, будет проведено организатором адресно </w:t>
      </w:r>
      <w:r>
        <w:rPr>
          <w:lang w:val="ru-RU"/>
        </w:rPr>
        <w:br/>
        <w:t>по указанному в заявке на участие номеру мобильного телефона и (или) электронной почте.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9. Права и обязанности участников и организатора:</w:t>
      </w:r>
    </w:p>
    <w:p w:rsidR="009F4A25" w:rsidRPr="00A763CF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9.1.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Участник: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9.1.1. Участник имеет право на получение информации об акции в объёме </w:t>
      </w:r>
      <w:r>
        <w:rPr>
          <w:lang w:val="ru-RU"/>
        </w:rPr>
        <w:br/>
        <w:t>и порядке, указанном в настоящем Положении.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9.1.2. Участник имеет право на получение приза в соответствии </w:t>
      </w:r>
      <w:r>
        <w:rPr>
          <w:lang w:val="ru-RU"/>
        </w:rPr>
        <w:br/>
        <w:t>с настоящим Положением.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9.1.3. Участие в акции автоматически подразумевает ознакомление и полное согласие участников с настоящим Положением.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9.2. Организатор: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9.2.1. Организатор имеет право провести акцию на условиях, определённых организатором.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9.2.2. Организатор в целях идентификации участников акции имеет право собирать личные данные участников посредством анкетирования.</w:t>
      </w:r>
    </w:p>
    <w:p w:rsidR="009F4A25" w:rsidRPr="00A763CF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9.2.3. Организатор оставляет за собой право публиковать дополнительную информацию об акции на сайте </w:t>
      </w:r>
      <w:r>
        <w:t>atomsbt</w:t>
      </w:r>
      <w:r>
        <w:rPr>
          <w:lang w:val="ru-RU"/>
        </w:rPr>
        <w:t>.</w:t>
      </w:r>
      <w:r>
        <w:t>ru</w:t>
      </w:r>
      <w:r>
        <w:rPr>
          <w:lang w:val="ru-RU"/>
        </w:rPr>
        <w:t>, в региональных и местных СМИ.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9.2.4. Организатор имеет право внести изменения в призовой фонд.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10. Правила выдачи призов: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10.1. Призы выдаются собственникам лицевых счетов по итогам отбора методом генерации случайных чисел. По итогам акции также могут быть отмечены наиболее активные участники, которые будут награждены поощрительными призами.</w:t>
      </w:r>
    </w:p>
    <w:p w:rsidR="000A0835" w:rsidRDefault="0027056A" w:rsidP="000A083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56A">
        <w:rPr>
          <w:rFonts w:ascii="Times New Roman" w:hAnsi="Times New Roman" w:cs="Times New Roman"/>
          <w:sz w:val="28"/>
          <w:szCs w:val="28"/>
          <w:lang w:val="ru-RU"/>
        </w:rPr>
        <w:t xml:space="preserve">10.2. </w:t>
      </w:r>
      <w:r w:rsidR="000A0835" w:rsidRPr="000A0835">
        <w:rPr>
          <w:rFonts w:ascii="Times New Roman" w:hAnsi="Times New Roman"/>
          <w:sz w:val="28"/>
          <w:szCs w:val="28"/>
          <w:lang w:val="ru-RU"/>
        </w:rPr>
        <w:t xml:space="preserve">Победитель имеет право получить приз после проведения розыгрыша в срок не позднее </w:t>
      </w:r>
      <w:r w:rsidR="000A0835">
        <w:rPr>
          <w:rFonts w:ascii="Times New Roman" w:hAnsi="Times New Roman"/>
          <w:sz w:val="28"/>
          <w:szCs w:val="28"/>
          <w:lang w:val="ru-RU"/>
        </w:rPr>
        <w:t>15</w:t>
      </w:r>
      <w:r w:rsidR="000A0835" w:rsidRPr="000A08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835">
        <w:rPr>
          <w:rFonts w:ascii="Times New Roman" w:hAnsi="Times New Roman"/>
          <w:sz w:val="28"/>
          <w:szCs w:val="28"/>
          <w:lang w:val="ru-RU"/>
        </w:rPr>
        <w:t>октября 2024</w:t>
      </w:r>
      <w:r w:rsidR="000A0835" w:rsidRPr="000A0835">
        <w:rPr>
          <w:rFonts w:ascii="Times New Roman" w:hAnsi="Times New Roman"/>
          <w:sz w:val="28"/>
          <w:szCs w:val="28"/>
          <w:lang w:val="ru-RU"/>
        </w:rPr>
        <w:t xml:space="preserve"> года включительно. Для получения приза победителю необходимо обратиться в офис обслуживания клиентов по месту жительства, </w:t>
      </w:r>
      <w:r w:rsidR="000A0835" w:rsidRPr="000A0835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предъявить документ, удостоверяющий личность (паспорт гражданина РФ), свидетельство ИНН (при наличии). Организатор имеет право не выдавать приз победителю, отказавшемуся предъявить необходимые документы. В случае несоответствия данных о собственнике жилья, указанных в реестре физических лиц, победитель обязан к прочему перечню документов предъявить свидетельство о праве собственности или иной документ, подтверждающий его права (например, договор социального найма или договор аренды). Специалист офиса обслуживания клиентов обязан внести исправления в базу данных биллинговой системы </w:t>
      </w:r>
      <w:r w:rsidR="000A0835" w:rsidRPr="000A0835">
        <w:rPr>
          <w:rFonts w:ascii="Times New Roman" w:hAnsi="Times New Roman" w:cs="Times New Roman"/>
          <w:sz w:val="28"/>
          <w:szCs w:val="28"/>
          <w:lang w:val="ru-RU"/>
        </w:rPr>
        <w:t>организатора, в соответствии с предоставленными документами.</w:t>
      </w:r>
    </w:p>
    <w:p w:rsidR="00A47B2F" w:rsidRPr="00A47B2F" w:rsidRDefault="00A47B2F" w:rsidP="00A47B2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7B2F">
        <w:rPr>
          <w:rFonts w:ascii="Times New Roman" w:hAnsi="Times New Roman"/>
          <w:sz w:val="28"/>
          <w:szCs w:val="28"/>
          <w:lang w:val="ru-RU"/>
        </w:rPr>
        <w:t xml:space="preserve">10.3. В случае, если победитель не обратился за </w:t>
      </w:r>
      <w:r>
        <w:rPr>
          <w:rFonts w:ascii="Times New Roman" w:hAnsi="Times New Roman"/>
          <w:sz w:val="28"/>
          <w:szCs w:val="28"/>
          <w:lang w:val="ru-RU"/>
        </w:rPr>
        <w:t>призом</w:t>
      </w:r>
      <w:r w:rsidRPr="00A47B2F">
        <w:rPr>
          <w:rFonts w:ascii="Times New Roman" w:hAnsi="Times New Roman"/>
          <w:sz w:val="28"/>
          <w:szCs w:val="28"/>
          <w:lang w:val="ru-RU"/>
        </w:rPr>
        <w:t xml:space="preserve"> в срок до </w:t>
      </w:r>
      <w:r>
        <w:rPr>
          <w:rFonts w:ascii="Times New Roman" w:hAnsi="Times New Roman"/>
          <w:sz w:val="28"/>
          <w:szCs w:val="28"/>
          <w:lang w:val="ru-RU"/>
        </w:rPr>
        <w:t>15 октября</w:t>
      </w:r>
      <w:r w:rsidRPr="00A47B2F">
        <w:rPr>
          <w:rFonts w:ascii="Times New Roman" w:hAnsi="Times New Roman"/>
          <w:sz w:val="28"/>
          <w:szCs w:val="28"/>
          <w:lang w:val="ru-RU"/>
        </w:rPr>
        <w:t xml:space="preserve"> 2024 года включительно, с 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A47B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Pr="00A47B2F">
        <w:rPr>
          <w:rFonts w:ascii="Times New Roman" w:hAnsi="Times New Roman"/>
          <w:sz w:val="28"/>
          <w:szCs w:val="28"/>
          <w:lang w:val="ru-RU"/>
        </w:rPr>
        <w:t xml:space="preserve"> 2024 года приз считается невостребованным. Невостребованные призы остаются в собственности организатора и не выдаются, не хранятся, повторно не разыгрываются.</w:t>
      </w:r>
    </w:p>
    <w:p w:rsidR="009F4A25" w:rsidRPr="000A0835" w:rsidRDefault="00FB0EAF" w:rsidP="000A083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835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A47B2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A0835">
        <w:rPr>
          <w:rFonts w:ascii="Times New Roman" w:hAnsi="Times New Roman" w:cs="Times New Roman"/>
          <w:sz w:val="28"/>
          <w:szCs w:val="28"/>
          <w:lang w:val="ru-RU"/>
        </w:rPr>
        <w:t>. Выплата денежного эквивалента стоимости приза не производится.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10.</w:t>
      </w:r>
      <w:r w:rsidR="00A47B2F">
        <w:rPr>
          <w:lang w:val="ru-RU"/>
        </w:rPr>
        <w:t>5</w:t>
      </w:r>
      <w:r>
        <w:rPr>
          <w:lang w:val="ru-RU"/>
        </w:rPr>
        <w:t>. Обязательства организатора по передаче призов победителям считаются исполненными с момента передачи приза победителю. С момента передачи приза организатор не несёт ответственности за риск его случайной утери или порчи.</w:t>
      </w:r>
    </w:p>
    <w:p w:rsidR="009F4A25" w:rsidRDefault="00FB0EAF">
      <w:pPr>
        <w:pStyle w:val="Standard"/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11. Дополнительные условия:</w:t>
      </w:r>
    </w:p>
    <w:p w:rsidR="009F4A25" w:rsidRDefault="00FB0EAF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Во всём, что не предусмотрено настоящим Положением, организатор </w:t>
      </w:r>
      <w:r>
        <w:rPr>
          <w:lang w:val="ru-RU"/>
        </w:rPr>
        <w:br/>
        <w:t>и участники акции руководствуются действующим законодательством Российской Федерации.</w:t>
      </w:r>
    </w:p>
    <w:p w:rsidR="009F4A25" w:rsidRDefault="009F4A25">
      <w:pPr>
        <w:pStyle w:val="Standard"/>
        <w:ind w:firstLine="709"/>
        <w:jc w:val="both"/>
        <w:rPr>
          <w:lang w:val="ru-RU"/>
        </w:rPr>
      </w:pPr>
    </w:p>
    <w:p w:rsidR="009F4A25" w:rsidRDefault="009F4A25">
      <w:pPr>
        <w:pStyle w:val="Standard"/>
        <w:ind w:firstLine="709"/>
        <w:jc w:val="both"/>
        <w:rPr>
          <w:rFonts w:cs="Times New Roman"/>
          <w:color w:val="000000"/>
          <w:szCs w:val="28"/>
          <w:lang w:val="ru-RU"/>
        </w:rPr>
      </w:pPr>
    </w:p>
    <w:p w:rsidR="009F4A25" w:rsidRDefault="009F4A25">
      <w:pPr>
        <w:pStyle w:val="Standard"/>
        <w:ind w:firstLine="709"/>
        <w:jc w:val="both"/>
        <w:rPr>
          <w:lang w:val="ru-RU"/>
        </w:rPr>
      </w:pPr>
    </w:p>
    <w:sectPr w:rsidR="009F4A25">
      <w:headerReference w:type="default" r:id="rId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B6" w:rsidRDefault="00EF19B6">
      <w:r>
        <w:separator/>
      </w:r>
    </w:p>
  </w:endnote>
  <w:endnote w:type="continuationSeparator" w:id="0">
    <w:p w:rsidR="00EF19B6" w:rsidRDefault="00EF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B6" w:rsidRDefault="00EF19B6">
      <w:r>
        <w:rPr>
          <w:color w:val="000000"/>
        </w:rPr>
        <w:separator/>
      </w:r>
    </w:p>
  </w:footnote>
  <w:footnote w:type="continuationSeparator" w:id="0">
    <w:p w:rsidR="00EF19B6" w:rsidRDefault="00EF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05"/>
    </w:tblGrid>
    <w:tr w:rsidR="00E3629B">
      <w:trPr>
        <w:trHeight w:hRule="exact" w:val="567"/>
      </w:trPr>
      <w:tc>
        <w:tcPr>
          <w:tcW w:w="99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3629B" w:rsidRDefault="00FB0EAF">
          <w:pPr>
            <w:pStyle w:val="a5"/>
            <w:jc w:val="center"/>
          </w:pPr>
          <w:r>
            <w:rPr>
              <w:rFonts w:eastAsia="Calibri" w:cs="Times New Roman"/>
            </w:rPr>
            <w:fldChar w:fldCharType="begin"/>
          </w:r>
          <w:r>
            <w:rPr>
              <w:rFonts w:eastAsia="Calibri" w:cs="Times New Roman"/>
            </w:rPr>
            <w:instrText xml:space="preserve"> PAGE </w:instrText>
          </w:r>
          <w:r>
            <w:rPr>
              <w:rFonts w:eastAsia="Calibri" w:cs="Times New Roman"/>
            </w:rPr>
            <w:fldChar w:fldCharType="separate"/>
          </w:r>
          <w:r w:rsidR="00551152">
            <w:rPr>
              <w:rFonts w:eastAsia="Calibri" w:cs="Times New Roman"/>
              <w:noProof/>
            </w:rPr>
            <w:t>4</w:t>
          </w:r>
          <w:r>
            <w:rPr>
              <w:rFonts w:eastAsia="Calibri" w:cs="Times New Roman"/>
            </w:rPr>
            <w:fldChar w:fldCharType="end"/>
          </w:r>
        </w:p>
      </w:tc>
    </w:tr>
  </w:tbl>
  <w:p w:rsidR="00E3629B" w:rsidRDefault="00EF19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26B7"/>
    <w:multiLevelType w:val="multilevel"/>
    <w:tmpl w:val="C5828B34"/>
    <w:styleLink w:val="WWNum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69E42A4"/>
    <w:multiLevelType w:val="multilevel"/>
    <w:tmpl w:val="7DC8DEC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A5A4E68"/>
    <w:multiLevelType w:val="multilevel"/>
    <w:tmpl w:val="3FA2A0D8"/>
    <w:styleLink w:val="WWNum2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3" w15:restartNumberingAfterBreak="0">
    <w:nsid w:val="796E3F95"/>
    <w:multiLevelType w:val="multilevel"/>
    <w:tmpl w:val="E242B128"/>
    <w:styleLink w:val="WWNum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1.%2"/>
      <w:lvlJc w:val="left"/>
      <w:pPr>
        <w:ind w:left="2149" w:hanging="360"/>
      </w:pPr>
    </w:lvl>
    <w:lvl w:ilvl="2">
      <w:start w:val="1"/>
      <w:numFmt w:val="lowerRoman"/>
      <w:lvlText w:val="%1.%2.%3"/>
      <w:lvlJc w:val="right"/>
      <w:pPr>
        <w:ind w:left="2869" w:hanging="180"/>
      </w:pPr>
    </w:lvl>
    <w:lvl w:ilvl="3">
      <w:start w:val="1"/>
      <w:numFmt w:val="decimal"/>
      <w:lvlText w:val="%1.%2.%3.%4"/>
      <w:lvlJc w:val="left"/>
      <w:pPr>
        <w:ind w:left="3589" w:hanging="360"/>
      </w:pPr>
    </w:lvl>
    <w:lvl w:ilvl="4">
      <w:start w:val="1"/>
      <w:numFmt w:val="lowerLetter"/>
      <w:lvlText w:val="%1.%2.%3.%4.%5"/>
      <w:lvlJc w:val="left"/>
      <w:pPr>
        <w:ind w:left="4309" w:hanging="360"/>
      </w:pPr>
    </w:lvl>
    <w:lvl w:ilvl="5">
      <w:start w:val="1"/>
      <w:numFmt w:val="lowerRoman"/>
      <w:lvlText w:val="%1.%2.%3.%4.%5.%6"/>
      <w:lvlJc w:val="right"/>
      <w:pPr>
        <w:ind w:left="5029" w:hanging="180"/>
      </w:pPr>
    </w:lvl>
    <w:lvl w:ilvl="6">
      <w:start w:val="1"/>
      <w:numFmt w:val="decimal"/>
      <w:lvlText w:val="%1.%2.%3.%4.%5.%6.%7"/>
      <w:lvlJc w:val="left"/>
      <w:pPr>
        <w:ind w:left="5749" w:hanging="360"/>
      </w:pPr>
    </w:lvl>
    <w:lvl w:ilvl="7">
      <w:start w:val="1"/>
      <w:numFmt w:val="lowerLetter"/>
      <w:lvlText w:val="%1.%2.%3.%4.%5.%6.%7.%8"/>
      <w:lvlJc w:val="left"/>
      <w:pPr>
        <w:ind w:left="6469" w:hanging="360"/>
      </w:pPr>
    </w:lvl>
    <w:lvl w:ilvl="8">
      <w:start w:val="1"/>
      <w:numFmt w:val="lowerRoman"/>
      <w:lvlText w:val="%1.%2.%3.%4.%5.%6.%7.%8.%9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25"/>
    <w:rsid w:val="0000785A"/>
    <w:rsid w:val="00097E04"/>
    <w:rsid w:val="000A0835"/>
    <w:rsid w:val="000B662C"/>
    <w:rsid w:val="000D3ADB"/>
    <w:rsid w:val="001038BE"/>
    <w:rsid w:val="001300EF"/>
    <w:rsid w:val="001857A1"/>
    <w:rsid w:val="0027056A"/>
    <w:rsid w:val="004224BB"/>
    <w:rsid w:val="00551152"/>
    <w:rsid w:val="00603328"/>
    <w:rsid w:val="00647A45"/>
    <w:rsid w:val="006641E8"/>
    <w:rsid w:val="006E4638"/>
    <w:rsid w:val="008579C8"/>
    <w:rsid w:val="009F4A25"/>
    <w:rsid w:val="009F74C1"/>
    <w:rsid w:val="00A20B46"/>
    <w:rsid w:val="00A47B2F"/>
    <w:rsid w:val="00A763CF"/>
    <w:rsid w:val="00B75AD9"/>
    <w:rsid w:val="00C71FA0"/>
    <w:rsid w:val="00CA6B17"/>
    <w:rsid w:val="00D83D51"/>
    <w:rsid w:val="00DB7751"/>
    <w:rsid w:val="00E07618"/>
    <w:rsid w:val="00EF19B6"/>
    <w:rsid w:val="00FB0EAF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BB4E4-8239-4CEC-A43D-E9EFD49D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4"/>
        <w:szCs w:val="24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a8">
    <w:name w:val="Текст документа"/>
    <w:basedOn w:val="Standard"/>
    <w:pPr>
      <w:ind w:firstLine="709"/>
      <w:jc w:val="both"/>
    </w:pPr>
    <w:rPr>
      <w:lang w:val="ru-RU"/>
    </w:rPr>
  </w:style>
  <w:style w:type="paragraph" w:customStyle="1" w:styleId="759A55BC53E84DC8BF72092AEEA73D83">
    <w:name w:val="759A55BC53E84DC8BF72092AEEA73D83"/>
    <w:pPr>
      <w:widowControl/>
      <w:suppressAutoHyphens/>
      <w:spacing w:after="160" w:line="256" w:lineRule="auto"/>
    </w:pPr>
    <w:rPr>
      <w:sz w:val="22"/>
      <w:szCs w:val="22"/>
      <w:lang w:val="ru-RU" w:eastAsia="ru-RU"/>
    </w:rPr>
  </w:style>
  <w:style w:type="paragraph" w:styleId="a9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eastAsia="Times New Roman" w:cs="Calibri"/>
      <w:sz w:val="22"/>
      <w:szCs w:val="20"/>
      <w:lang w:val="ru-RU" w:eastAsia="ru-RU"/>
    </w:rPr>
  </w:style>
  <w:style w:type="paragraph" w:customStyle="1" w:styleId="45132BE43F084F13BA22A5DDA9235EDE2">
    <w:name w:val="45132BE43F084F13BA22A5DDA9235EDE2"/>
    <w:pPr>
      <w:widowControl/>
      <w:suppressAutoHyphens/>
    </w:pPr>
  </w:style>
  <w:style w:type="paragraph" w:customStyle="1" w:styleId="aa">
    <w:name w:val="Справочные данные"/>
    <w:basedOn w:val="Standard"/>
    <w:autoRedefine/>
    <w:pPr>
      <w:jc w:val="center"/>
    </w:pPr>
    <w:rPr>
      <w:rFonts w:cs="Times New Roman"/>
      <w:sz w:val="22"/>
      <w:szCs w:val="22"/>
      <w:lang w:val="ru-RU" w:eastAsia="en-GB"/>
    </w:rPr>
  </w:style>
  <w:style w:type="paragraph" w:customStyle="1" w:styleId="ab">
    <w:name w:val="Наименование организации"/>
    <w:basedOn w:val="Standard"/>
    <w:pPr>
      <w:jc w:val="center"/>
    </w:pPr>
    <w:rPr>
      <w:rFonts w:cs="Times New Roman"/>
      <w:b/>
      <w:sz w:val="24"/>
      <w:lang w:val="ru-RU" w:eastAsia="en-GB"/>
    </w:rPr>
  </w:style>
  <w:style w:type="paragraph" w:customStyle="1" w:styleId="ac">
    <w:name w:val="Строка разделить"/>
    <w:basedOn w:val="Standard"/>
    <w:pPr>
      <w:jc w:val="center"/>
    </w:pPr>
    <w:rPr>
      <w:rFonts w:cs="Times New Roman"/>
      <w:sz w:val="10"/>
      <w:szCs w:val="10"/>
      <w:lang w:val="ru-RU" w:eastAsia="en-GB"/>
    </w:rPr>
  </w:style>
  <w:style w:type="paragraph" w:customStyle="1" w:styleId="ad">
    <w:name w:val="Дата и номер"/>
    <w:basedOn w:val="Standard"/>
    <w:rPr>
      <w:rFonts w:cs="Times New Roman"/>
      <w:sz w:val="20"/>
      <w:szCs w:val="20"/>
      <w:lang w:val="ru-RU" w:eastAsia="en-GB"/>
    </w:rPr>
  </w:style>
  <w:style w:type="paragraph" w:customStyle="1" w:styleId="45132BE43F084F13BA22A5DDA9235EDE3">
    <w:name w:val="45132BE43F084F13BA22A5DDA9235EDE3"/>
    <w:pPr>
      <w:widowControl/>
      <w:suppressAutoHyphens/>
    </w:pPr>
  </w:style>
  <w:style w:type="paragraph" w:customStyle="1" w:styleId="ae">
    <w:name w:val="пометка дсп/кт"/>
    <w:basedOn w:val="ConsPlusNormal"/>
    <w:pPr>
      <w:spacing w:line="300" w:lineRule="exact"/>
      <w:ind w:firstLine="6"/>
      <w:jc w:val="both"/>
    </w:pPr>
    <w:rPr>
      <w:rFonts w:cs="Times New Roman"/>
      <w:b/>
      <w:szCs w:val="28"/>
      <w:lang w:eastAsia="en-GB"/>
    </w:rPr>
  </w:style>
  <w:style w:type="paragraph" w:customStyle="1" w:styleId="af">
    <w:name w:val="Преамбула приказа"/>
    <w:basedOn w:val="Standard"/>
    <w:pPr>
      <w:ind w:firstLine="709"/>
      <w:jc w:val="both"/>
    </w:pPr>
    <w:rPr>
      <w:rFonts w:eastAsia="Times New Roman" w:cs="Times New Roman"/>
      <w:szCs w:val="28"/>
      <w:lang w:val="ru-RU"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0">
    <w:name w:val="No Spacing"/>
    <w:pPr>
      <w:widowControl/>
      <w:suppressAutoHyphens/>
      <w:jc w:val="both"/>
      <w:textAlignment w:val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1">
    <w:name w:val="Верхний колонтитул Знак"/>
    <w:basedOn w:val="a0"/>
  </w:style>
  <w:style w:type="character" w:customStyle="1" w:styleId="af2">
    <w:name w:val="Нижний колонтитул Знак"/>
    <w:basedOn w:val="a0"/>
  </w:style>
  <w:style w:type="character" w:customStyle="1" w:styleId="af3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styleId="af4">
    <w:name w:val="Placeholder Text"/>
    <w:basedOn w:val="a0"/>
    <w:rPr>
      <w:color w:val="808080"/>
    </w:rPr>
  </w:style>
  <w:style w:type="character" w:customStyle="1" w:styleId="af5">
    <w:name w:val="Текст документа Знак"/>
    <w:basedOn w:val="a0"/>
    <w:rPr>
      <w:rFonts w:ascii="Times New Roman" w:eastAsia="Times New Roman" w:hAnsi="Times New Roman" w:cs="Times New Roman"/>
      <w:sz w:val="28"/>
      <w:lang w:val="ru-RU"/>
    </w:rPr>
  </w:style>
  <w:style w:type="character" w:customStyle="1" w:styleId="af6">
    <w:name w:val="Преамбула приказа Знак"/>
    <w:basedOn w:val="a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f7">
    <w:name w:val="page number"/>
  </w:style>
  <w:style w:type="character" w:customStyle="1" w:styleId="Linenumbering">
    <w:name w:val="Line numbering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Щемляев Сергей Алексеевич</dc:creator>
  <cp:lastModifiedBy>Щемляев Сергей Алексеевич</cp:lastModifiedBy>
  <cp:revision>2</cp:revision>
  <cp:lastPrinted>2024-06-28T12:15:00Z</cp:lastPrinted>
  <dcterms:created xsi:type="dcterms:W3CDTF">2024-07-12T11:53:00Z</dcterms:created>
  <dcterms:modified xsi:type="dcterms:W3CDTF">2024-07-12T11:53:00Z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