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Перечень мероприятий по повышению качества обслуживания клиентов, выполненные в 2024 году: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1.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Обновление офисов обслуживания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– 10 </w:t>
      </w:r>
      <w:r>
        <w:rPr>
          <w:rFonts w:cs="Times New Roman" w:ascii="Times New Roman" w:hAnsi="Times New Roman"/>
          <w:color w:val="000000"/>
          <w:sz w:val="24"/>
          <w:szCs w:val="24"/>
        </w:rPr>
        <w:t>офисов обслуживания клиентов приведены в соответствие с новой концепцией и соблюдением единых стандартов.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Default"/>
        <w:jc w:val="both"/>
        <w:rPr>
          <w:b/>
          <w:b/>
          <w:i/>
          <w:i/>
        </w:rPr>
      </w:pPr>
      <w:r>
        <w:rPr>
          <w:b/>
          <w:i/>
        </w:rPr>
        <w:t>2. Развитие и доработка мобильного приложения и личного кабинета для физических лиц:</w:t>
      </w:r>
    </w:p>
    <w:p>
      <w:pPr>
        <w:pStyle w:val="Default"/>
        <w:numPr>
          <w:ilvl w:val="0"/>
          <w:numId w:val="1"/>
        </w:numPr>
        <w:ind w:left="284" w:hanging="284"/>
        <w:jc w:val="both"/>
        <w:rPr/>
      </w:pPr>
      <w:r>
        <w:rPr/>
        <w:t>осуществлен переход на платежную систему Сбера;</w:t>
      </w:r>
    </w:p>
    <w:p>
      <w:pPr>
        <w:pStyle w:val="Default"/>
        <w:numPr>
          <w:ilvl w:val="0"/>
          <w:numId w:val="1"/>
        </w:numPr>
        <w:ind w:left="284" w:hanging="284"/>
        <w:jc w:val="both"/>
        <w:rPr/>
      </w:pPr>
      <w:r>
        <w:rPr/>
        <w:t>улучшена производительность программы;</w:t>
      </w:r>
    </w:p>
    <w:p>
      <w:pPr>
        <w:pStyle w:val="Default"/>
        <w:numPr>
          <w:ilvl w:val="0"/>
          <w:numId w:val="1"/>
        </w:numPr>
        <w:ind w:left="284" w:hanging="284"/>
        <w:jc w:val="both"/>
        <w:rPr/>
      </w:pPr>
      <w:r>
        <w:rPr/>
        <w:t>добавлено удобное переключение между лицевыми счетами;</w:t>
      </w:r>
    </w:p>
    <w:p>
      <w:pPr>
        <w:pStyle w:val="Default"/>
        <w:numPr>
          <w:ilvl w:val="0"/>
          <w:numId w:val="1"/>
        </w:numPr>
        <w:ind w:left="284" w:hanging="284"/>
        <w:jc w:val="both"/>
        <w:rPr/>
      </w:pPr>
      <w:r>
        <w:rPr/>
        <w:t>добавлено простое подключение электронной квитанции;</w:t>
      </w:r>
    </w:p>
    <w:p>
      <w:pPr>
        <w:pStyle w:val="ListParagraph"/>
        <w:ind w:left="644" w:hanging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cs="Times New Roman"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Default"/>
        <w:jc w:val="both"/>
        <w:rPr>
          <w:b/>
          <w:b/>
          <w:i/>
          <w:i/>
        </w:rPr>
      </w:pPr>
      <w:r>
        <w:rPr>
          <w:b/>
          <w:i/>
        </w:rPr>
        <w:t>3. Развитие и доработка личного кабинета для юридических лиц:</w:t>
      </w:r>
    </w:p>
    <w:p>
      <w:pPr>
        <w:pStyle w:val="Default"/>
        <w:numPr>
          <w:ilvl w:val="0"/>
          <w:numId w:val="2"/>
        </w:numPr>
        <w:ind w:left="284" w:hanging="284"/>
        <w:jc w:val="both"/>
        <w:rPr/>
      </w:pPr>
      <w:r>
        <w:rPr/>
        <w:t>улучшена производительность программы;</w:t>
      </w:r>
    </w:p>
    <w:p>
      <w:pPr>
        <w:pStyle w:val="Default"/>
        <w:numPr>
          <w:ilvl w:val="0"/>
          <w:numId w:val="2"/>
        </w:numPr>
        <w:ind w:left="284" w:hanging="284"/>
        <w:jc w:val="both"/>
        <w:rPr/>
      </w:pPr>
      <w:r>
        <w:rPr>
          <w:rFonts w:eastAsia="Times New Roman"/>
          <w:color w:val="auto"/>
          <w:lang w:eastAsia="ru-RU"/>
        </w:rPr>
        <w:t xml:space="preserve">техническая поддержка работоспособности сервиса с подготовкой к переходу на новую платформу </w:t>
      </w:r>
      <w:r>
        <w:rPr>
          <w:rFonts w:eastAsia="Times New Roman"/>
          <w:lang w:eastAsia="ru-RU"/>
        </w:rPr>
        <w:t>(запланирована реализация новой версии Личного кабинета для юридических лиц в 2025 году).</w:t>
      </w:r>
    </w:p>
    <w:p>
      <w:pPr>
        <w:pStyle w:val="Default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Default"/>
        <w:jc w:val="both"/>
        <w:rPr>
          <w:b/>
          <w:b/>
          <w:i/>
          <w:i/>
        </w:rPr>
      </w:pPr>
      <w:r>
        <w:rPr>
          <w:b/>
          <w:i/>
        </w:rPr>
        <w:t>4. Развитие и доработка интерактивного счёта:</w:t>
      </w:r>
    </w:p>
    <w:p>
      <w:pPr>
        <w:pStyle w:val="Default"/>
        <w:numPr>
          <w:ilvl w:val="0"/>
          <w:numId w:val="3"/>
        </w:numPr>
        <w:ind w:left="284" w:hanging="284"/>
        <w:jc w:val="both"/>
        <w:rPr/>
      </w:pPr>
      <w:r>
        <w:rPr/>
        <w:t>оптимизирована работа сервиса;</w:t>
      </w:r>
    </w:p>
    <w:p>
      <w:pPr>
        <w:pStyle w:val="Default"/>
        <w:numPr>
          <w:ilvl w:val="0"/>
          <w:numId w:val="3"/>
        </w:numPr>
        <w:ind w:left="284" w:hanging="284"/>
        <w:jc w:val="both"/>
        <w:rPr/>
      </w:pPr>
      <w:r>
        <w:rPr/>
        <w:t>проведена адаптация сервиса под услуги ЕРКЦ.</w:t>
      </w:r>
    </w:p>
    <w:p>
      <w:pPr>
        <w:pStyle w:val="Default"/>
        <w:jc w:val="both"/>
        <w:rPr>
          <w:highlight w:val="green"/>
        </w:rPr>
      </w:pPr>
      <w:r>
        <w:rPr>
          <w:highlight w:val="green"/>
        </w:rPr>
      </w:r>
    </w:p>
    <w:p>
      <w:pPr>
        <w:pStyle w:val="Default"/>
        <w:jc w:val="both"/>
        <w:rPr>
          <w:b/>
          <w:b/>
          <w:i/>
          <w:i/>
          <w:sz w:val="23"/>
          <w:szCs w:val="23"/>
        </w:rPr>
      </w:pPr>
      <w:r>
        <w:rPr>
          <w:b/>
          <w:i/>
        </w:rPr>
        <w:t xml:space="preserve">5. </w:t>
      </w:r>
      <w:r>
        <w:rPr>
          <w:b/>
          <w:i/>
          <w:sz w:val="23"/>
          <w:szCs w:val="23"/>
        </w:rPr>
        <w:t>Запущена обновленная версия мобильного приложения: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мобильное приложение доступно для скачивания в RuStore;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осуществлен переход на платежную систему Сбера;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 xml:space="preserve">доступна оплата без комиссии (в т.ч. с помощью </w:t>
      </w:r>
      <w:r>
        <w:rPr>
          <w:lang w:val="en-US"/>
        </w:rPr>
        <w:t>SberPay</w:t>
      </w:r>
      <w:r>
        <w:rPr/>
        <w:t xml:space="preserve"> и СБП);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обновлен дизайн приложения;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добавлено удобное переключение между лицевыми счетами;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добавлено простое подключение электронной квитанции;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добавлена передача показаний по нескольким приборам учета в одном окне;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добавлены напоминания о передаче показаний и об образовавшейся задолженности;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разделы с историей показаний и платежей; показания по интеллектуальным счетчикам теперь группируются по месяцам;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доработано добавление файлов в разделе «Обращения» (для Android) и форматирование сообщений (для IOS);</w:t>
      </w:r>
    </w:p>
    <w:p>
      <w:pPr>
        <w:pStyle w:val="Default"/>
        <w:numPr>
          <w:ilvl w:val="0"/>
          <w:numId w:val="4"/>
        </w:numPr>
        <w:ind w:left="284" w:hanging="284"/>
        <w:jc w:val="both"/>
        <w:rPr/>
      </w:pPr>
      <w:r>
        <w:rPr/>
        <w:t>доработаны блоки оплат, показаний и диапазонов для ЕРКЦ.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b/>
          <w:b/>
          <w:i/>
          <w:i/>
        </w:rPr>
      </w:pPr>
      <w:r>
        <w:rPr>
          <w:b/>
          <w:i/>
        </w:rPr>
        <w:t>6. В 3 офисах обслуживания клиентов оснащены записывающими устройствами.</w:t>
      </w:r>
    </w:p>
    <w:p>
      <w:pPr>
        <w:pStyle w:val="Default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Default"/>
        <w:jc w:val="both"/>
        <w:rPr>
          <w:b/>
          <w:b/>
          <w:i/>
          <w:i/>
        </w:rPr>
      </w:pPr>
      <w:r>
        <w:rPr>
          <w:b/>
          <w:i/>
        </w:rPr>
        <w:t>7. В 5 офисах обслуживания установлены электронные очереди.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i/>
          <w:color w:val="000000"/>
          <w:sz w:val="20"/>
          <w:szCs w:val="20"/>
        </w:rPr>
      </w:r>
    </w:p>
    <w:p>
      <w:pPr>
        <w:pStyle w:val="Default"/>
        <w:jc w:val="both"/>
        <w:rPr>
          <w:sz w:val="23"/>
          <w:szCs w:val="23"/>
        </w:rPr>
      </w:pPr>
      <w:r>
        <w:rPr>
          <w:b/>
          <w:i/>
        </w:rPr>
        <w:t>8. Разработаны, утверждены и реализованы мероприятия дорожных карт</w:t>
      </w:r>
      <w:r>
        <w:rPr>
          <w:sz w:val="23"/>
          <w:szCs w:val="23"/>
        </w:rPr>
        <w:t xml:space="preserve"> по 5-и направлениям: «Оценка качества клиентского обслуживания», «Аналитика обращений», «Обучение бренд- персонала», «Клиентские эксперименты», «Маркетинг и брендирование».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i/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9. Проведены выездные проверки центров обслуживания клиентов, фото-аудиты, видео-проверки, проверки методом «тайный покупатель».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i/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10. Регулярное обучение бренд-персонала.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 xml:space="preserve">. Проводится ежегодный опрос клиентов методом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lang w:val="en-US"/>
        </w:rPr>
        <w:t>NPS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lang w:val="en-US"/>
        </w:rPr>
        <w:t>CSI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Общее количество обращений за 2024 год сост</w:t>
      </w:r>
      <w:bookmarkStart w:id="0" w:name="_GoBack"/>
      <w:bookmarkEnd w:id="0"/>
      <w:r>
        <w:rPr>
          <w:rFonts w:cs="Times New Roman" w:ascii="Times New Roman" w:hAnsi="Times New Roman"/>
          <w:b/>
          <w:color w:val="000000"/>
          <w:sz w:val="24"/>
          <w:szCs w:val="24"/>
        </w:rPr>
        <w:t>авило 835 368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из них претензии и жалобы 8.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Среднее время обслуживания и ожидания за 2024 год.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cs="Times New Roman"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Normal"/>
        <w:spacing w:before="120" w:after="12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Контактный центр</w:t>
      </w:r>
    </w:p>
    <w:tbl>
      <w:tblPr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60"/>
        <w:gridCol w:w="4831"/>
        <w:gridCol w:w="3685"/>
      </w:tblGrid>
      <w:tr>
        <w:trPr>
          <w:trHeight w:val="600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Период</w:t>
            </w:r>
          </w:p>
        </w:tc>
        <w:tc>
          <w:tcPr>
            <w:tcW w:w="4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Среднее время ожидания ответа оператора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Среднее время обслуживания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0:11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2:22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0:08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2:40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Март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0:09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2:34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0:11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2:20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0:10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2:44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Июнь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0:14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2:28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Июль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0:59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2:32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Август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1:29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3:06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1:24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3:07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1:33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3:06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1:01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3:21</w:t>
            </w:r>
          </w:p>
        </w:tc>
      </w:tr>
      <w:tr>
        <w:trPr>
          <w:trHeight w:val="300" w:hRule="atLeast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0:32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3:06</w:t>
            </w:r>
          </w:p>
        </w:tc>
      </w:tr>
    </w:tbl>
    <w:p>
      <w:pPr>
        <w:pStyle w:val="Normal"/>
        <w:spacing w:before="120" w:after="120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Офисы обслуживания</w:t>
      </w:r>
    </w:p>
    <w:tbl>
      <w:tblPr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69"/>
        <w:gridCol w:w="1561"/>
        <w:gridCol w:w="993"/>
        <w:gridCol w:w="1548"/>
        <w:gridCol w:w="898"/>
        <w:gridCol w:w="1827"/>
        <w:gridCol w:w="1679"/>
      </w:tblGrid>
      <w:tr>
        <w:trPr>
          <w:trHeight w:val="600" w:hRule="atLeast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Обслуживание специалистом -консультация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Обслуживание специалистом -кассовая операция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Обслуживание специалистом- консультация и кассовая операция</w:t>
            </w:r>
          </w:p>
        </w:tc>
      </w:tr>
      <w:tr>
        <w:trPr>
          <w:trHeight w:val="600" w:hRule="atLeast"/>
        </w:trPr>
        <w:tc>
          <w:tcPr>
            <w:tcW w:w="1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Ожидание в очереди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Ожидание в очереди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Ожидание в очереди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Прием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0:02:41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0:05:04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0:02:48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0:04:01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0:05:29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0:09:05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0:04:15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0:00:58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0:02:43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0:05:13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0:09:01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0:04:59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0:01:37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0:02:44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0:06:36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0:09:00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0:06:20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0:05:52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0:03:17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0:01:47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0:09:38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0:07:39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0:05:56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0:02:06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0:01:51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0:08:37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0:07:47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0:05:27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0:02:19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0:01:42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0:07:46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0:06:54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0:05:33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0:01:32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0:01:40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0:07:05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0:07:41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0:04:07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0:06:03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0:01:04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0:05:23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0:05:32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0:00:55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0:04:52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0:04:57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0:03:28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0:05:23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0:07:07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0:04:50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0:01:43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0:08:07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0:05:03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0:05:48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0:02:53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0:01:44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0:07:56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0:07:33</w:t>
            </w:r>
          </w:p>
        </w:tc>
      </w:tr>
      <w:tr>
        <w:trPr>
          <w:trHeight w:val="300" w:hRule="atLeast"/>
        </w:trPr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0:04:57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0:05:51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0:01:58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0:02:04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0:06:55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0:07:55</w:t>
            </w:r>
          </w:p>
        </w:tc>
      </w:tr>
    </w:tbl>
    <w:p>
      <w:pPr>
        <w:pStyle w:val="Normal"/>
        <w:spacing w:before="120" w:after="120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Режимы работы каналов заочного обслуживания.</w:t>
      </w:r>
    </w:p>
    <w:tbl>
      <w:tblPr>
        <w:tblStyle w:val="ac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6"/>
        <w:gridCol w:w="4109"/>
      </w:tblGrid>
      <w:tr>
        <w:trPr/>
        <w:tc>
          <w:tcPr>
            <w:tcW w:w="5666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Наименование канала</w:t>
            </w:r>
          </w:p>
        </w:tc>
        <w:tc>
          <w:tcPr>
            <w:tcW w:w="4109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Режим работы</w:t>
            </w:r>
          </w:p>
        </w:tc>
      </w:tr>
      <w:tr>
        <w:trPr>
          <w:trHeight w:val="1724" w:hRule="atLeast"/>
        </w:trPr>
        <w:tc>
          <w:tcPr>
            <w:tcW w:w="566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Мобильное приложение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Личный кабинет для физических лиц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Личный кабинет для юридических лиц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Сайт: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https://atomsbt.ru/kursk/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Электронная почта: </w:t>
            </w:r>
            <w:hyperlink r:id="rId2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secretary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kursk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atomsbt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4109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Круглосуточно</w:t>
            </w:r>
          </w:p>
        </w:tc>
      </w:tr>
      <w:tr>
        <w:trPr>
          <w:trHeight w:val="418" w:hRule="atLeast"/>
        </w:trPr>
        <w:tc>
          <w:tcPr>
            <w:tcW w:w="5666" w:type="dxa"/>
            <w:tcBorders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Официальный аккаунт в социальной сети ВК</w:t>
            </w:r>
          </w:p>
        </w:tc>
        <w:tc>
          <w:tcPr>
            <w:tcW w:w="4109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Ежедневно: с 09-00 до 18-00</w:t>
            </w:r>
          </w:p>
        </w:tc>
      </w:tr>
      <w:tr>
        <w:trPr/>
        <w:tc>
          <w:tcPr>
            <w:tcW w:w="5666" w:type="dxa"/>
            <w:tcBorders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КЦ 8 (4712) 390-329</w:t>
            </w:r>
          </w:p>
        </w:tc>
        <w:tc>
          <w:tcPr>
            <w:tcW w:w="4109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Оператор: пн.– чт. с 08:00 до 18:00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пт.: с 08:00 до 17:00</w:t>
            </w:r>
          </w:p>
        </w:tc>
      </w:tr>
      <w:tr>
        <w:trPr>
          <w:trHeight w:val="417" w:hRule="atLeast"/>
        </w:trPr>
        <w:tc>
          <w:tcPr>
            <w:tcW w:w="566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Интерактивный помощник в КЦ</w:t>
            </w:r>
          </w:p>
        </w:tc>
        <w:tc>
          <w:tcPr>
            <w:tcW w:w="4109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Круглосуточно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851" w:right="566" w:header="0" w:top="56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5b23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7e5b23"/>
    <w:rPr>
      <w:color w:val="0563C1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f2547d"/>
    <w:rPr>
      <w:rFonts w:ascii="Segoe UI" w:hAnsi="Segoe UI" w:cs="Segoe UI"/>
      <w:sz w:val="18"/>
      <w:szCs w:val="18"/>
    </w:rPr>
  </w:style>
  <w:style w:type="character" w:styleId="Style16" w:customStyle="1">
    <w:name w:val="Посещённая гиперссылка"/>
    <w:basedOn w:val="DefaultParagraphFont"/>
    <w:rPr>
      <w:color w:val="954F72" w:themeColor="followedHyperlink"/>
      <w:u w:val="singl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e5b23"/>
    <w:pPr>
      <w:ind w:left="720" w:hanging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f2547d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b912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4454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y@kursk.atomsbt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2</Pages>
  <Words>634</Words>
  <Characters>3620</Characters>
  <CharactersWithSpaces>4246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2025-03-26T12:53:00Z</dcterms:created>
  <dc:creator>Лютенко Надежда Сергеевна</dc:creator>
  <dc:description/>
  <dc:language>ru-RU</dc:language>
  <cp:lastModifiedBy/>
  <cp:lastPrinted>2024-03-12T14:04:00Z</cp:lastPrinted>
  <dcterms:modified xsi:type="dcterms:W3CDTF">2025-03-26T16:07:58Z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